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245BA">
      <w:pPr>
        <w:jc w:val="center"/>
        <w:rPr>
          <w:rFonts w:hint="eastAsia"/>
          <w:b/>
          <w:bCs/>
          <w:sz w:val="32"/>
          <w:szCs w:val="32"/>
        </w:rPr>
      </w:pPr>
      <w:bookmarkStart w:id="0" w:name="_GoBack"/>
      <w:bookmarkEnd w:id="0"/>
      <w:r>
        <w:rPr>
          <w:rFonts w:hint="eastAsia"/>
          <w:b/>
          <w:bCs/>
          <w:sz w:val="32"/>
          <w:szCs w:val="32"/>
        </w:rPr>
        <w:t xml:space="preserve"> 关于</w:t>
      </w:r>
      <w:r>
        <w:rPr>
          <w:rFonts w:hint="eastAsia"/>
          <w:b/>
          <w:bCs/>
          <w:sz w:val="32"/>
          <w:szCs w:val="32"/>
          <w:lang w:val="en-US" w:eastAsia="zh-CN"/>
        </w:rPr>
        <w:t>安徽古井贡酒股份有限公司</w:t>
      </w:r>
      <w:r>
        <w:rPr>
          <w:rFonts w:hint="eastAsia"/>
          <w:b/>
          <w:bCs/>
          <w:sz w:val="32"/>
          <w:szCs w:val="32"/>
        </w:rPr>
        <w:t>知识产权保护</w:t>
      </w:r>
    </w:p>
    <w:p w14:paraId="055C1E09">
      <w:pPr>
        <w:jc w:val="center"/>
        <w:rPr>
          <w:b/>
          <w:bCs/>
          <w:sz w:val="32"/>
          <w:szCs w:val="32"/>
        </w:rPr>
      </w:pPr>
      <w:r>
        <w:rPr>
          <w:rFonts w:hint="eastAsia"/>
          <w:b/>
          <w:bCs/>
          <w:sz w:val="32"/>
          <w:szCs w:val="32"/>
        </w:rPr>
        <w:t xml:space="preserve">外聘法律服务机构的选聘公告 </w:t>
      </w:r>
    </w:p>
    <w:p w14:paraId="5B6E6366"/>
    <w:p w14:paraId="073DCF12"/>
    <w:p w14:paraId="708181A7">
      <w:pPr>
        <w:ind w:firstLine="560" w:firstLineChars="200"/>
        <w:rPr>
          <w:rFonts w:hint="eastAsia" w:ascii="仿宋" w:hAnsi="仿宋" w:eastAsia="仿宋" w:cs="仿宋"/>
          <w:sz w:val="28"/>
          <w:szCs w:val="28"/>
        </w:rPr>
      </w:pPr>
      <w:r>
        <w:rPr>
          <w:rFonts w:hint="eastAsia" w:ascii="仿宋" w:hAnsi="仿宋" w:eastAsia="仿宋" w:cs="仿宋"/>
          <w:sz w:val="28"/>
          <w:szCs w:val="28"/>
        </w:rPr>
        <w:t>为全面推进依法治企，深入开展知识产权保护，</w:t>
      </w:r>
      <w:r>
        <w:rPr>
          <w:rFonts w:hint="eastAsia" w:ascii="仿宋" w:hAnsi="仿宋" w:eastAsia="仿宋" w:cs="仿宋"/>
          <w:sz w:val="28"/>
          <w:szCs w:val="28"/>
          <w:lang w:val="en-US" w:eastAsia="zh-CN"/>
        </w:rPr>
        <w:t>安徽古井贡酒股份有限公司（以下简称“股份公司”）</w:t>
      </w:r>
      <w:r>
        <w:rPr>
          <w:rFonts w:hint="eastAsia" w:ascii="仿宋" w:hAnsi="仿宋" w:eastAsia="仿宋" w:cs="仿宋"/>
          <w:sz w:val="28"/>
          <w:szCs w:val="28"/>
        </w:rPr>
        <w:t>拟建立知识产权保护外聘法律服务机构备选库，并向社会公开征集符合条件的律师事务所申请入库。现将有关事项公告如下：</w:t>
      </w:r>
    </w:p>
    <w:p w14:paraId="7A7FC1C5"/>
    <w:p w14:paraId="6ADFC27E">
      <w:pPr>
        <w:pStyle w:val="3"/>
        <w:keepNext w:val="0"/>
        <w:keepLines w:val="0"/>
        <w:widowControl/>
        <w:suppressLineNumbers w:val="0"/>
        <w:shd w:val="clear" w:fill="FFFFFF"/>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一、发展法律服务机构类别</w:t>
      </w:r>
    </w:p>
    <w:p w14:paraId="0012BDB1">
      <w:pPr>
        <w:pStyle w:val="3"/>
        <w:keepNext w:val="0"/>
        <w:keepLines w:val="0"/>
        <w:widowControl/>
        <w:suppressLineNumbers w:val="0"/>
        <w:shd w:val="clear" w:fill="FFFFFF"/>
        <w:spacing w:line="320" w:lineRule="atLeast"/>
        <w:ind w:left="370" w:firstLine="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知识产权保护外聘法律服务机构单位</w:t>
      </w:r>
    </w:p>
    <w:p w14:paraId="7035D9D2">
      <w:pPr>
        <w:pStyle w:val="3"/>
        <w:keepNext w:val="0"/>
        <w:keepLines w:val="0"/>
        <w:widowControl/>
        <w:suppressLineNumbers w:val="0"/>
        <w:shd w:val="clear" w:fill="FFFFFF"/>
        <w:spacing w:line="320" w:lineRule="atLeast"/>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二、报名须知</w:t>
      </w:r>
    </w:p>
    <w:p w14:paraId="7AFE2120">
      <w:pPr>
        <w:pStyle w:val="3"/>
        <w:keepNext w:val="0"/>
        <w:keepLines w:val="0"/>
        <w:widowControl/>
        <w:suppressLineNumbers w:val="0"/>
        <w:shd w:val="clear" w:fill="FFFFFF"/>
        <w:spacing w:line="320" w:lineRule="atLeast"/>
        <w:ind w:left="370" w:firstLine="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1、报名方式</w:t>
      </w:r>
    </w:p>
    <w:p w14:paraId="00E6830D">
      <w:pPr>
        <w:spacing w:line="24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有意报名的律所，</w:t>
      </w:r>
      <w:r>
        <w:rPr>
          <w:rFonts w:hint="eastAsia" w:ascii="仿宋" w:hAnsi="仿宋" w:eastAsia="仿宋" w:cs="仿宋"/>
          <w:color w:val="000000" w:themeColor="text1"/>
          <w:sz w:val="28"/>
          <w:szCs w:val="28"/>
          <w:highlight w:val="none"/>
          <w:lang w:val="en-US" w:eastAsia="zh-CN"/>
          <w14:textFill>
            <w14:solidFill>
              <w14:schemeClr w14:val="tx1"/>
            </w14:solidFill>
          </w14:textFill>
        </w:rPr>
        <w:t>请与报名联系人联系，并索取</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安徽古井贡酒股份有限公司知识产权保护</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外聘法律服务机构</w:t>
      </w:r>
      <w:r>
        <w:rPr>
          <w:rFonts w:hint="eastAsia" w:ascii="仿宋" w:hAnsi="仿宋" w:eastAsia="仿宋" w:cs="仿宋"/>
          <w:b w:val="0"/>
          <w:bCs w:val="0"/>
          <w:color w:val="000000" w:themeColor="text1"/>
          <w:sz w:val="28"/>
          <w:szCs w:val="28"/>
          <w:highlight w:val="none"/>
          <w14:textFill>
            <w14:solidFill>
              <w14:schemeClr w14:val="tx1"/>
            </w14:solidFill>
          </w14:textFill>
        </w:rPr>
        <w:t>备选库入库申请材料清单</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及《安徽古井贡酒股份有限公司知识产权保护外聘法律服务机构备选库入库评审细则》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按照清单要求</w:t>
      </w:r>
      <w:r>
        <w:rPr>
          <w:rFonts w:hint="eastAsia" w:ascii="仿宋" w:hAnsi="仿宋" w:eastAsia="仿宋" w:cs="仿宋"/>
          <w:color w:val="000000" w:themeColor="text1"/>
          <w:sz w:val="28"/>
          <w:szCs w:val="28"/>
          <w:highlight w:val="none"/>
          <w14:textFill>
            <w14:solidFill>
              <w14:schemeClr w14:val="tx1"/>
            </w14:solidFill>
          </w14:textFill>
        </w:rPr>
        <w:t>制作</w:t>
      </w:r>
      <w:r>
        <w:rPr>
          <w:rFonts w:hint="eastAsia" w:ascii="仿宋" w:hAnsi="仿宋" w:eastAsia="仿宋" w:cs="仿宋"/>
          <w:color w:val="000000" w:themeColor="text1"/>
          <w:sz w:val="28"/>
          <w:szCs w:val="28"/>
          <w:highlight w:val="none"/>
          <w:lang w:val="en-US" w:eastAsia="zh-CN"/>
          <w14:textFill>
            <w14:solidFill>
              <w14:schemeClr w14:val="tx1"/>
            </w14:solidFill>
          </w14:textFill>
        </w:rPr>
        <w:t>并提供</w:t>
      </w:r>
      <w:r>
        <w:rPr>
          <w:rFonts w:hint="eastAsia" w:ascii="仿宋" w:hAnsi="仿宋" w:eastAsia="仿宋" w:cs="仿宋"/>
          <w:color w:val="000000" w:themeColor="text1"/>
          <w:sz w:val="28"/>
          <w:szCs w:val="28"/>
          <w:highlight w:val="none"/>
          <w14:textFill>
            <w14:solidFill>
              <w14:schemeClr w14:val="tx1"/>
            </w14:solidFill>
          </w14:textFill>
        </w:rPr>
        <w:t>报名材料。因材料制作不符要求导致的任何不利后果，由律所自行承担。</w:t>
      </w:r>
    </w:p>
    <w:p w14:paraId="4CD5D1AB">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2、报名及资料提交截止时间</w:t>
      </w:r>
    </w:p>
    <w:p w14:paraId="7C2F44CB">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2024年12月16日上午8:30，逾期报名或报名资料未按时提交的申请单位将不予纳入本次评审范围。</w:t>
      </w:r>
    </w:p>
    <w:p w14:paraId="38289AB2">
      <w:pPr>
        <w:pStyle w:val="3"/>
        <w:keepNext w:val="0"/>
        <w:keepLines w:val="0"/>
        <w:widowControl/>
        <w:suppressLineNumbers w:val="0"/>
        <w:shd w:val="clear" w:fill="FFFFFF"/>
        <w:spacing w:line="320" w:lineRule="atLeast"/>
        <w:ind w:left="370" w:firstLine="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3、其他</w:t>
      </w:r>
    </w:p>
    <w:p w14:paraId="2CEC4378">
      <w:pPr>
        <w:spacing w:line="240" w:lineRule="auto"/>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报名截止时间前将一式五份纸质版/电子版(存储在U盘里）报名材料密封后现场提交或邮寄至股份公司指定收件人处，逾期未收到或不符合规定的不予受理。</w:t>
      </w:r>
    </w:p>
    <w:p w14:paraId="7FFCF8D4">
      <w:pPr>
        <w:pStyle w:val="3"/>
        <w:keepNext w:val="0"/>
        <w:keepLines w:val="0"/>
        <w:widowControl/>
        <w:suppressLineNumbers w:val="0"/>
        <w:shd w:val="clear" w:fill="FFFFFF"/>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三、联系方式</w:t>
      </w:r>
    </w:p>
    <w:p w14:paraId="3DFC7375">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报名</w:t>
      </w:r>
      <w:r>
        <w:rPr>
          <w:rFonts w:ascii="仿宋" w:hAnsi="仿宋" w:eastAsia="仿宋" w:cs="仿宋"/>
          <w:sz w:val="28"/>
          <w:szCs w:val="28"/>
        </w:rPr>
        <w:t>联系人及电话</w:t>
      </w:r>
      <w:r>
        <w:rPr>
          <w:rFonts w:hint="eastAsia" w:ascii="仿宋" w:hAnsi="仿宋" w:eastAsia="仿宋" w:cs="仿宋"/>
          <w:kern w:val="2"/>
          <w:sz w:val="28"/>
          <w:szCs w:val="28"/>
          <w:lang w:val="en-US" w:eastAsia="zh-CN" w:bidi="ar-SA"/>
        </w:rPr>
        <w:t>：石工，18505689500</w:t>
      </w:r>
    </w:p>
    <w:p w14:paraId="4BE333DE">
      <w:pPr>
        <w:pStyle w:val="3"/>
        <w:keepNext w:val="0"/>
        <w:keepLines w:val="0"/>
        <w:widowControl/>
        <w:suppressLineNumbers w:val="0"/>
        <w:shd w:val="clear" w:fill="FFFFFF"/>
        <w:spacing w:line="320" w:lineRule="atLeast"/>
        <w:ind w:left="0" w:firstLine="37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材料接收人及电话：李工，19956796220</w:t>
      </w:r>
    </w:p>
    <w:p w14:paraId="35DED642">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    址：安徽省亳州市古井镇张集南古井销售公司2056室。</w:t>
      </w:r>
    </w:p>
    <w:p w14:paraId="164E077C">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邮   箱：</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"mailto:liwengang@gujing.com.cn"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liwengang@gujing.com.cn</w:t>
      </w:r>
      <w:r>
        <w:rPr>
          <w:rFonts w:hint="eastAsia" w:ascii="仿宋" w:hAnsi="仿宋" w:eastAsia="仿宋" w:cs="仿宋"/>
          <w:kern w:val="2"/>
          <w:sz w:val="28"/>
          <w:szCs w:val="28"/>
          <w:lang w:val="en-US" w:eastAsia="zh-CN" w:bidi="ar-SA"/>
        </w:rPr>
        <w:fldChar w:fldCharType="end"/>
      </w:r>
    </w:p>
    <w:p w14:paraId="6D7D3F6D">
      <w:pPr>
        <w:widowControl/>
        <w:spacing w:line="400" w:lineRule="exact"/>
        <w:ind w:right="-420" w:rightChars="-200" w:firstLine="464" w:firstLineChars="200"/>
        <w:jc w:val="left"/>
        <w:rPr>
          <w:rFonts w:hint="default" w:ascii="宋体" w:hAnsi="宋体" w:cs="宋体"/>
          <w:spacing w:val="-4"/>
          <w:kern w:val="0"/>
          <w:sz w:val="24"/>
          <w:lang w:val="en-US" w:eastAsia="zh-CN"/>
        </w:rPr>
      </w:pPr>
    </w:p>
    <w:p w14:paraId="6945055B">
      <w:pPr>
        <w:pStyle w:val="3"/>
        <w:keepNext w:val="0"/>
        <w:keepLines w:val="0"/>
        <w:widowControl/>
        <w:suppressLineNumbers w:val="0"/>
        <w:shd w:val="clear" w:fill="FFFFFF"/>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四、公告发布平台</w:t>
      </w:r>
    </w:p>
    <w:p w14:paraId="7A2DA302">
      <w:pPr>
        <w:pStyle w:val="3"/>
        <w:keepNext w:val="0"/>
        <w:keepLines w:val="0"/>
        <w:widowControl/>
        <w:suppressLineNumbers w:val="0"/>
        <w:shd w:val="clear" w:fill="FFFFFF"/>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本公告在中国采购与招标网（www.chinabidding.cn）、安徽省招标投标信息网（www.ahtba.org.cn）、古井集团官网（www.gujing.com）、古井集团SRM系统（www.gujinggong.cn）同时发布，其他网站转载无效。</w:t>
      </w:r>
    </w:p>
    <w:p w14:paraId="657C1A62">
      <w:pPr>
        <w:pStyle w:val="3"/>
        <w:keepNext w:val="0"/>
        <w:keepLines w:val="0"/>
        <w:widowControl/>
        <w:suppressLineNumbers w:val="0"/>
        <w:shd w:val="clear" w:fill="FFFFFF"/>
        <w:ind w:left="0" w:firstLine="370"/>
        <w:jc w:val="left"/>
        <w:rPr>
          <w:rFonts w:hint="eastAsia" w:ascii="仿宋" w:hAnsi="仿宋" w:eastAsia="仿宋" w:cs="仿宋"/>
          <w:kern w:val="2"/>
          <w:sz w:val="28"/>
          <w:szCs w:val="28"/>
          <w:lang w:val="en-US" w:eastAsia="zh-CN" w:bidi="ar-SA"/>
        </w:rPr>
      </w:pPr>
    </w:p>
    <w:p w14:paraId="084F48E1">
      <w:pPr>
        <w:pStyle w:val="3"/>
        <w:keepNext w:val="0"/>
        <w:keepLines w:val="0"/>
        <w:widowControl/>
        <w:suppressLineNumbers w:val="0"/>
        <w:shd w:val="clear" w:fill="FFFFFF"/>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五、其他</w:t>
      </w:r>
    </w:p>
    <w:p w14:paraId="24048C2B">
      <w:pPr>
        <w:numPr>
          <w:ilvl w:val="0"/>
          <w:numId w:val="0"/>
        </w:numPr>
        <w:ind w:firstLine="280" w:firstLineChars="100"/>
        <w:rPr>
          <w:rFonts w:ascii="仿宋" w:hAnsi="仿宋" w:eastAsia="仿宋" w:cs="仿宋"/>
          <w:sz w:val="28"/>
          <w:szCs w:val="28"/>
        </w:rPr>
      </w:pPr>
      <w:r>
        <w:rPr>
          <w:rFonts w:ascii="仿宋" w:hAnsi="仿宋" w:eastAsia="仿宋" w:cs="仿宋"/>
          <w:sz w:val="28"/>
          <w:szCs w:val="28"/>
        </w:rPr>
        <w:t>本公告并不产生具体项目的邀标效力。</w:t>
      </w:r>
    </w:p>
    <w:p w14:paraId="607B5CCF">
      <w:pPr>
        <w:numPr>
          <w:ilvl w:val="0"/>
          <w:numId w:val="0"/>
        </w:numPr>
        <w:ind w:firstLine="280" w:firstLineChars="100"/>
        <w:rPr>
          <w:rFonts w:ascii="仿宋" w:hAnsi="仿宋" w:eastAsia="仿宋" w:cs="仿宋"/>
          <w:sz w:val="28"/>
          <w:szCs w:val="28"/>
        </w:rPr>
      </w:pPr>
    </w:p>
    <w:p w14:paraId="1611033A">
      <w:pPr>
        <w:numPr>
          <w:ilvl w:val="0"/>
          <w:numId w:val="0"/>
        </w:numPr>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特此公告。</w:t>
      </w:r>
    </w:p>
    <w:p w14:paraId="7DC5CCC1">
      <w:pPr>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附件1：知识产权保护外聘法律服务机构的选聘准入条件</w:t>
      </w:r>
    </w:p>
    <w:p w14:paraId="5244EFB9">
      <w:pPr>
        <w:jc w:val="both"/>
        <w:rPr>
          <w:rFonts w:hint="eastAsia" w:ascii="仿宋" w:hAnsi="仿宋" w:eastAsia="仿宋" w:cs="仿宋"/>
          <w:kern w:val="2"/>
          <w:sz w:val="28"/>
          <w:szCs w:val="28"/>
          <w:lang w:val="en-US" w:eastAsia="zh-CN" w:bidi="ar-SA"/>
        </w:rPr>
      </w:pPr>
    </w:p>
    <w:p w14:paraId="4091CE61">
      <w:pPr>
        <w:pStyle w:val="3"/>
        <w:keepNext w:val="0"/>
        <w:keepLines w:val="0"/>
        <w:widowControl/>
        <w:suppressLineNumbers w:val="0"/>
        <w:shd w:val="clear" w:fill="FFFFFF"/>
        <w:wordWrap w:val="0"/>
        <w:spacing w:line="320" w:lineRule="atLeast"/>
        <w:ind w:firstLine="5040" w:firstLineChars="1800"/>
        <w:jc w:val="both"/>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安徽古井贡酒酒股份公司</w:t>
      </w:r>
    </w:p>
    <w:p w14:paraId="459D6AA8">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2024年12月4日</w:t>
      </w:r>
    </w:p>
    <w:p w14:paraId="3385DA59">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1EF7E11A">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40AE36FD">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53D050A0">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2D5A8513">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4B9EB461">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3A0726EA">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2C0D0C16">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6F703A74">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269B369E">
      <w:pPr>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附件1：知识产权保护外聘法律服务机构的选聘准入条件</w:t>
      </w:r>
    </w:p>
    <w:tbl>
      <w:tblPr>
        <w:tblStyle w:val="5"/>
        <w:tblpPr w:leftFromText="180" w:rightFromText="180" w:vertAnchor="text" w:horzAnchor="page" w:tblpX="1591" w:tblpY="362"/>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7596"/>
      </w:tblGrid>
      <w:tr w14:paraId="24E2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23" w:type="dxa"/>
          </w:tcPr>
          <w:p w14:paraId="7E2AC86A">
            <w:pPr>
              <w:pStyle w:val="2"/>
              <w:widowControl w:val="0"/>
              <w:numPr>
                <w:ilvl w:val="-1"/>
                <w:numId w:val="0"/>
              </w:numPr>
              <w:spacing w:line="580" w:lineRule="exact"/>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7596" w:type="dxa"/>
          </w:tcPr>
          <w:p w14:paraId="6DA3E82E">
            <w:pPr>
              <w:pStyle w:val="2"/>
              <w:widowControl w:val="0"/>
              <w:numPr>
                <w:ilvl w:val="-1"/>
                <w:numId w:val="0"/>
              </w:numPr>
              <w:spacing w:line="580" w:lineRule="exact"/>
              <w:ind w:firstLine="2249" w:firstLineChars="700"/>
              <w:jc w:val="both"/>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项目内容</w:t>
            </w:r>
          </w:p>
        </w:tc>
      </w:tr>
      <w:tr w14:paraId="0120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123" w:type="dxa"/>
            <w:vAlign w:val="top"/>
          </w:tcPr>
          <w:p w14:paraId="68CCD9B4">
            <w:pPr>
              <w:pStyle w:val="2"/>
              <w:widowControl w:val="0"/>
              <w:numPr>
                <w:ilvl w:val="-1"/>
                <w:numId w:val="0"/>
              </w:numPr>
              <w:spacing w:line="580" w:lineRule="exact"/>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资质证件</w:t>
            </w:r>
          </w:p>
        </w:tc>
        <w:tc>
          <w:tcPr>
            <w:tcW w:w="7596" w:type="dxa"/>
            <w:vAlign w:val="top"/>
          </w:tcPr>
          <w:p w14:paraId="3483FE7C">
            <w:pPr>
              <w:pStyle w:val="2"/>
              <w:widowControl w:val="0"/>
              <w:numPr>
                <w:ilvl w:val="-1"/>
                <w:numId w:val="0"/>
              </w:numPr>
              <w:spacing w:line="580" w:lineRule="exact"/>
              <w:ind w:left="0" w:leftChars="0" w:firstLine="0" w:firstLineChars="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有效的律师事务所执业许可证复印件</w:t>
            </w:r>
          </w:p>
        </w:tc>
      </w:tr>
      <w:tr w14:paraId="5C5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23" w:type="dxa"/>
          </w:tcPr>
          <w:p w14:paraId="4C2C96A8">
            <w:pPr>
              <w:pStyle w:val="2"/>
              <w:widowControl w:val="0"/>
              <w:numPr>
                <w:ilvl w:val="-1"/>
                <w:numId w:val="0"/>
              </w:numPr>
              <w:spacing w:line="58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手续要求</w:t>
            </w:r>
          </w:p>
        </w:tc>
        <w:tc>
          <w:tcPr>
            <w:tcW w:w="7596" w:type="dxa"/>
          </w:tcPr>
          <w:p w14:paraId="7279E938">
            <w:pPr>
              <w:pStyle w:val="2"/>
              <w:widowControl w:val="0"/>
              <w:numPr>
                <w:ilvl w:val="-1"/>
                <w:numId w:val="0"/>
              </w:numPr>
              <w:spacing w:line="580" w:lineRule="exact"/>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法定代表人授权委托书</w:t>
            </w:r>
          </w:p>
        </w:tc>
      </w:tr>
      <w:tr w14:paraId="322B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23" w:type="dxa"/>
          </w:tcPr>
          <w:p w14:paraId="41FC8FDF">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3507DF79">
            <w:pPr>
              <w:pStyle w:val="2"/>
              <w:widowControl w:val="0"/>
              <w:numPr>
                <w:ilvl w:val="-1"/>
                <w:numId w:val="0"/>
              </w:numPr>
              <w:spacing w:line="580" w:lineRule="exact"/>
              <w:ind w:firstLine="281" w:firstLineChars="100"/>
              <w:jc w:val="both"/>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业绩要求</w:t>
            </w:r>
          </w:p>
        </w:tc>
        <w:tc>
          <w:tcPr>
            <w:tcW w:w="7596" w:type="dxa"/>
          </w:tcPr>
          <w:p w14:paraId="56EC0F6D">
            <w:pPr>
              <w:pStyle w:val="2"/>
              <w:widowControl w:val="0"/>
              <w:numPr>
                <w:ilvl w:val="-1"/>
                <w:numId w:val="0"/>
              </w:numPr>
              <w:spacing w:line="580" w:lineRule="exact"/>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2021年1月1日以来至少具有一份酒类企业知识产权保护法律服务业绩</w:t>
            </w:r>
            <w:r>
              <w:rPr>
                <w:rFonts w:hint="eastAsia" w:ascii="仿宋" w:hAnsi="仿宋" w:eastAsia="仿宋" w:cs="仿宋"/>
                <w:sz w:val="28"/>
                <w:szCs w:val="28"/>
                <w:lang w:val="en-US" w:eastAsia="zh-CN"/>
              </w:rPr>
              <w:t>或酒类</w:t>
            </w:r>
            <w:r>
              <w:rPr>
                <w:rFonts w:hint="eastAsia" w:ascii="仿宋" w:hAnsi="仿宋" w:eastAsia="仿宋" w:cs="仿宋"/>
                <w:sz w:val="28"/>
                <w:szCs w:val="28"/>
              </w:rPr>
              <w:t>常年法律顾问服务</w:t>
            </w:r>
            <w:r>
              <w:rPr>
                <w:rFonts w:hint="eastAsia" w:ascii="仿宋" w:hAnsi="仿宋" w:eastAsia="仿宋" w:cs="仿宋"/>
                <w:sz w:val="28"/>
                <w:szCs w:val="28"/>
                <w:lang w:eastAsia="zh-CN"/>
              </w:rPr>
              <w:t>。</w:t>
            </w:r>
          </w:p>
        </w:tc>
      </w:tr>
      <w:tr w14:paraId="187A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atLeast"/>
        </w:trPr>
        <w:tc>
          <w:tcPr>
            <w:tcW w:w="2123" w:type="dxa"/>
          </w:tcPr>
          <w:p w14:paraId="537640F0">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491C3339">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7E1924D0">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1B609DDA">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432E3112">
            <w:pPr>
              <w:pStyle w:val="2"/>
              <w:widowControl w:val="0"/>
              <w:numPr>
                <w:ilvl w:val="-1"/>
                <w:numId w:val="0"/>
              </w:numPr>
              <w:spacing w:line="58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信用要求</w:t>
            </w:r>
          </w:p>
        </w:tc>
        <w:tc>
          <w:tcPr>
            <w:tcW w:w="7596" w:type="dxa"/>
          </w:tcPr>
          <w:p w14:paraId="3641B277">
            <w:pPr>
              <w:pStyle w:val="2"/>
              <w:widowControl w:val="0"/>
              <w:numPr>
                <w:ilvl w:val="-1"/>
                <w:numId w:val="0"/>
              </w:numPr>
              <w:spacing w:line="580" w:lineRule="exact"/>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kern w:val="2"/>
                <w:sz w:val="28"/>
                <w:szCs w:val="28"/>
                <w:lang w:val="en-US" w:eastAsia="zh-CN" w:bidi="ar-SA"/>
              </w:rPr>
              <w:t>存在下列情形之一的，将被一票否决：</w:t>
            </w:r>
            <w:r>
              <w:rPr>
                <w:rFonts w:hint="eastAsia" w:ascii="仿宋" w:hAnsi="仿宋" w:eastAsia="仿宋" w:cs="仿宋"/>
                <w:i w:val="0"/>
                <w:iCs w:val="0"/>
                <w:caps w:val="0"/>
                <w:spacing w:val="0"/>
                <w:kern w:val="2"/>
                <w:sz w:val="28"/>
                <w:szCs w:val="28"/>
                <w:shd w:val="clear"/>
                <w:lang w:bidi="ar-SA"/>
              </w:rPr>
              <w:br w:type="textWrapping"/>
            </w:r>
            <w:r>
              <w:rPr>
                <w:rFonts w:hint="eastAsia" w:ascii="仿宋" w:hAnsi="仿宋" w:eastAsia="仿宋" w:cs="仿宋"/>
                <w:i w:val="0"/>
                <w:iCs w:val="0"/>
                <w:caps w:val="0"/>
                <w:spacing w:val="0"/>
                <w:kern w:val="2"/>
                <w:sz w:val="28"/>
                <w:szCs w:val="28"/>
                <w:shd w:val="clear"/>
                <w:lang w:bidi="ar-SA"/>
              </w:rPr>
              <w:t>1、</w:t>
            </w:r>
            <w:r>
              <w:rPr>
                <w:rFonts w:hint="eastAsia" w:ascii="仿宋" w:hAnsi="仿宋" w:eastAsia="仿宋" w:cs="仿宋"/>
                <w:i w:val="0"/>
                <w:iCs w:val="0"/>
                <w:caps w:val="0"/>
                <w:spacing w:val="0"/>
                <w:kern w:val="2"/>
                <w:sz w:val="28"/>
                <w:szCs w:val="28"/>
                <w:shd w:val="clear"/>
                <w:lang w:val="en-US" w:eastAsia="zh-CN" w:bidi="ar-SA"/>
              </w:rPr>
              <w:t>报名人被</w:t>
            </w:r>
            <w:r>
              <w:rPr>
                <w:rFonts w:hint="eastAsia" w:ascii="仿宋" w:hAnsi="仿宋" w:eastAsia="仿宋" w:cs="仿宋"/>
                <w:i w:val="0"/>
                <w:iCs w:val="0"/>
                <w:caps w:val="0"/>
                <w:spacing w:val="0"/>
                <w:kern w:val="2"/>
                <w:sz w:val="28"/>
                <w:szCs w:val="28"/>
                <w:shd w:val="clear"/>
                <w:lang w:bidi="ar-SA"/>
              </w:rPr>
              <w:t>人民法院列入失信被执行人（受惩黑名单）的；</w:t>
            </w:r>
            <w:r>
              <w:rPr>
                <w:rFonts w:hint="eastAsia" w:ascii="仿宋" w:hAnsi="仿宋" w:eastAsia="仿宋" w:cs="仿宋"/>
                <w:i w:val="0"/>
                <w:iCs w:val="0"/>
                <w:caps w:val="0"/>
                <w:spacing w:val="0"/>
                <w:kern w:val="2"/>
                <w:sz w:val="28"/>
                <w:szCs w:val="28"/>
                <w:shd w:val="clear"/>
                <w:lang w:bidi="ar-SA"/>
              </w:rPr>
              <w:br w:type="textWrapping"/>
            </w:r>
            <w:r>
              <w:rPr>
                <w:rFonts w:hint="eastAsia" w:ascii="仿宋" w:hAnsi="仿宋" w:eastAsia="仿宋" w:cs="仿宋"/>
                <w:i w:val="0"/>
                <w:iCs w:val="0"/>
                <w:caps w:val="0"/>
                <w:spacing w:val="0"/>
                <w:kern w:val="2"/>
                <w:sz w:val="28"/>
                <w:szCs w:val="28"/>
                <w:shd w:val="clear"/>
                <w:lang w:bidi="ar-SA"/>
              </w:rPr>
              <w:t>2、</w:t>
            </w:r>
            <w:r>
              <w:rPr>
                <w:rFonts w:hint="eastAsia" w:ascii="仿宋" w:hAnsi="仿宋" w:eastAsia="仿宋" w:cs="仿宋"/>
                <w:i w:val="0"/>
                <w:iCs w:val="0"/>
                <w:caps w:val="0"/>
                <w:spacing w:val="0"/>
                <w:kern w:val="2"/>
                <w:sz w:val="28"/>
                <w:szCs w:val="28"/>
                <w:shd w:val="clear"/>
                <w:lang w:val="en-US" w:eastAsia="zh-CN" w:bidi="ar-SA"/>
              </w:rPr>
              <w:t>报名人</w:t>
            </w:r>
            <w:r>
              <w:rPr>
                <w:rFonts w:hint="eastAsia" w:ascii="仿宋" w:hAnsi="仿宋" w:eastAsia="仿宋" w:cs="仿宋"/>
                <w:i w:val="0"/>
                <w:iCs w:val="0"/>
                <w:caps w:val="0"/>
                <w:spacing w:val="0"/>
                <w:kern w:val="2"/>
                <w:sz w:val="28"/>
                <w:szCs w:val="28"/>
                <w:shd w:val="clear"/>
                <w:lang w:bidi="ar-SA"/>
              </w:rPr>
              <w:t>被税务机关列入重大税收违法案件当事人名单（受惩黑名单）的；以上两项仅依据“信用中国”网站（www.creditchina.gov.cn）、“中国执行信息公开网”（http://zxgk.court.gov.cn/）发布的信息，评审时现场查询确认。</w:t>
            </w:r>
          </w:p>
        </w:tc>
      </w:tr>
      <w:tr w14:paraId="53F0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719" w:type="dxa"/>
            <w:gridSpan w:val="2"/>
          </w:tcPr>
          <w:p w14:paraId="1748D5F5">
            <w:pPr>
              <w:pStyle w:val="2"/>
              <w:widowControl w:val="0"/>
              <w:numPr>
                <w:ilvl w:val="-1"/>
                <w:numId w:val="0"/>
              </w:numPr>
              <w:spacing w:line="580" w:lineRule="exact"/>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要求：以上资料，请务必如实提供，若弄虚作假，将一票否决。</w:t>
            </w:r>
          </w:p>
        </w:tc>
      </w:tr>
    </w:tbl>
    <w:p w14:paraId="0EEF28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A0583"/>
    <w:rsid w:val="0002561E"/>
    <w:rsid w:val="01F7721F"/>
    <w:rsid w:val="026E6AA1"/>
    <w:rsid w:val="03E02A95"/>
    <w:rsid w:val="08DC4C5E"/>
    <w:rsid w:val="0A4725AB"/>
    <w:rsid w:val="0AE95411"/>
    <w:rsid w:val="0B224DC6"/>
    <w:rsid w:val="0B865355"/>
    <w:rsid w:val="0CB71D6A"/>
    <w:rsid w:val="0F781459"/>
    <w:rsid w:val="10BE10ED"/>
    <w:rsid w:val="146450B2"/>
    <w:rsid w:val="1E401394"/>
    <w:rsid w:val="1F642E60"/>
    <w:rsid w:val="20915ED7"/>
    <w:rsid w:val="229A0583"/>
    <w:rsid w:val="23757D31"/>
    <w:rsid w:val="26971D6D"/>
    <w:rsid w:val="278F17C6"/>
    <w:rsid w:val="2964062C"/>
    <w:rsid w:val="29A70519"/>
    <w:rsid w:val="2A7D127A"/>
    <w:rsid w:val="2D236108"/>
    <w:rsid w:val="323B36A0"/>
    <w:rsid w:val="32676A97"/>
    <w:rsid w:val="32AA30FD"/>
    <w:rsid w:val="33F26834"/>
    <w:rsid w:val="36C97D20"/>
    <w:rsid w:val="3848736B"/>
    <w:rsid w:val="3924732E"/>
    <w:rsid w:val="3A9C399E"/>
    <w:rsid w:val="3BC907C3"/>
    <w:rsid w:val="3DFE0BF8"/>
    <w:rsid w:val="41270465"/>
    <w:rsid w:val="418A4550"/>
    <w:rsid w:val="41E81277"/>
    <w:rsid w:val="427174BE"/>
    <w:rsid w:val="4C8A5D4C"/>
    <w:rsid w:val="4CCF550D"/>
    <w:rsid w:val="537E1A3B"/>
    <w:rsid w:val="5B687259"/>
    <w:rsid w:val="5DB70023"/>
    <w:rsid w:val="5DB736CF"/>
    <w:rsid w:val="5DE132F2"/>
    <w:rsid w:val="5E752E29"/>
    <w:rsid w:val="6347009B"/>
    <w:rsid w:val="639A5B16"/>
    <w:rsid w:val="64F1206D"/>
    <w:rsid w:val="64F733FB"/>
    <w:rsid w:val="650F6997"/>
    <w:rsid w:val="66D25ECE"/>
    <w:rsid w:val="676A6106"/>
    <w:rsid w:val="6E922B12"/>
    <w:rsid w:val="6EB70425"/>
    <w:rsid w:val="6ED76777"/>
    <w:rsid w:val="739B007E"/>
    <w:rsid w:val="76F1414E"/>
    <w:rsid w:val="772A2FCA"/>
    <w:rsid w:val="77446974"/>
    <w:rsid w:val="7B7D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00" w:lineRule="exact"/>
      <w:ind w:firstLine="560" w:firstLineChars="200"/>
    </w:pPr>
    <w:rPr>
      <w:rFonts w:ascii="宋体" w:hAnsi="宋体"/>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913</Words>
  <Characters>1082</Characters>
  <Lines>0</Lines>
  <Paragraphs>0</Paragraphs>
  <TotalTime>0</TotalTime>
  <ScaleCrop>false</ScaleCrop>
  <LinksUpToDate>false</LinksUpToDate>
  <CharactersWithSpaces>1116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2024-12-02T07:29:00Z</dcterms:created>
  <dc:creator>石莉</dc:creator>
  <cp:lastModifiedBy>Administrator</cp:lastModifiedBy>
  <dcterms:modified xsi:type="dcterms:W3CDTF">2024-12-06T02:34:02Z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7E792C68505649238729DE2FF44242C7_13</vt:lpwstr>
  </property>
</Properties>
</file>